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713295ce91780ea2d89ffcf0e159be24cf02ee"/>
    <w:p>
      <w:pPr>
        <w:pStyle w:val="Heading3"/>
      </w:pPr>
      <w:r>
        <w:t xml:space="preserve">Бюджет управы района Чертаново Северное на 2013 год</w:t>
      </w:r>
    </w:p>
    <w:p>
      <w:pPr>
        <w:pStyle w:val="FirstParagraph"/>
      </w:pPr>
      <w:r>
        <w:t xml:space="preserve">23.04.2014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http://chertanovo-severnoe.mos.ru/anti-corruption/information-on-income-expenses-about-property-and-obligations-of-property-character-/detail/1013238.html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severnoe.mos.ru" TargetMode="External" /><Relationship Type="http://schemas.openxmlformats.org/officeDocument/2006/relationships/hyperlink" Id="rId20" Target="http://chertanovo-severnoe.mos.ru/anti-corruption/information-on-income-expenses-about-property-and-obligations-of-property-character-/detail/10132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severnoe.mos.ru" TargetMode="External" /><Relationship Type="http://schemas.openxmlformats.org/officeDocument/2006/relationships/hyperlink" Id="rId20" Target="http://chertanovo-severnoe.mos.ru/anti-corruption/information-on-income-expenses-about-property-and-obligations-of-property-character-/detail/10132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2023-10-05T23:39:31Z</dcterms:created>
  <dcterms:modified xsi:type="dcterms:W3CDTF">2023-10-05T23:39:31Z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