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3328296b4b6fbc7315ad56561d7fc1d88c79f"/>
    <w:p>
      <w:pPr>
        <w:pStyle w:val="Heading3"/>
      </w:pPr>
      <w:r>
        <w:t xml:space="preserve">Сведения о доходах, расходах, об имуществе и обязательствах имущественного характера сотрудников управы района Чертаново Северное за 2021 год</w:t>
      </w:r>
    </w:p>
    <w:p>
      <w:pPr>
        <w:pStyle w:val="FirstParagraph"/>
      </w:pPr>
      <w:r>
        <w:t xml:space="preserve">27.04.2022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http://chertanovo-severnoe.mos.ru/anti-corruption/information-on-income-expenses-about-property-and-obligations-of-property-character-/detail/10779542.html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anti-corruption/information-on-income-expenses-about-property-and-obligations-of-property-character-/detail/107795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anti-corruption/information-on-income-expenses-about-property-and-obligations-of-property-character-/detail/107795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2025-05-12T15:47:56Z</dcterms:created>
  <dcterms:modified xsi:type="dcterms:W3CDTF">2025-05-12T15:47:56Z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