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78e9a10b4a732899d21713cf2d7c2ad22e702"/>
    <w:p>
      <w:pPr>
        <w:pStyle w:val="Heading3"/>
      </w:pPr>
      <w:r>
        <w:t xml:space="preserve">Сведения о средней заработной плате руководителя,заместителя руководителя, главного бухгалтера государственного учреждения города Москвы "Жилищник района Чертаново Северное" за 2018 год</w:t>
      </w:r>
    </w:p>
    <w:p>
      <w:pPr>
        <w:pStyle w:val="FirstParagraph"/>
      </w:pPr>
      <w:r>
        <w:t xml:space="preserve">14.05.2019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http://chertanovo-severnoe.mos.ru/anti-corruption/information-on-income-expenses-about-property-and-obligations-of-property-character-/detail/8079422.html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nti-corruption/information-on-income-expenses-about-property-and-obligations-of-property-character-/detail/8079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nti-corruption/information-on-income-expenses-about-property-and-obligations-of-property-character-/detail/8079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2023-06-07T13:24:38Z</dcterms:created>
  <dcterms:modified xsi:type="dcterms:W3CDTF">2023-06-07T13:24:38Z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