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2b4e3f4e797da3b7ed3ebe0491f1032a3c72"/>
    <w:p>
      <w:pPr>
        <w:pStyle w:val="Heading3"/>
      </w:pPr>
      <w:r>
        <w:t xml:space="preserve">Распоряжение о создании постоянно действующей рабочей группы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Распоряжение о создании постоянно действующей рабочей группы по профилактике наркомании и противодействию незаконному обороту наркотических средств, психотропных веществ и их прекурсоров управы района Чертаново Северное города Москвы от 31.01.2025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http://chertanovo-severnoe.mos.ru/safety-and-security/antinarkoticheskaya-deyatelnost-v-rayone-chertanovo-severnoe/novosti-o-profilaktike-narkozavisimosti/detail/12858212.html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afety-and-security/antinarkoticheskaya-deyatelnost-v-rayone-chertanovo-severnoe/novosti-o-profilaktike-narkozavisimosti/detail/12858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afety-and-security/antinarkoticheskaya-deyatelnost-v-rayone-chertanovo-severnoe/novosti-o-profilaktike-narkozavisimosti/detail/12858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2025-03-17T13:35:59Z</dcterms:created>
  <dcterms:modified xsi:type="dcterms:W3CDTF">2025-03-17T13:35:59Z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